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94B" w:rsidRPr="00F211C3" w:rsidRDefault="00F7294B" w:rsidP="00F7294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  <w:sectPr w:rsidR="00F7294B" w:rsidRPr="00F211C3" w:rsidSect="000249E1">
          <w:pgSz w:w="11906" w:h="16838" w:code="9"/>
          <w:pgMar w:top="1418" w:right="1418" w:bottom="1418" w:left="1418" w:header="907" w:footer="624" w:gutter="0"/>
          <w:cols w:space="708"/>
          <w:noEndnote/>
          <w:titlePg/>
          <w:docGrid w:linePitch="326"/>
        </w:sectPr>
      </w:pPr>
    </w:p>
    <w:p w:rsidR="000F09F2" w:rsidRPr="00F211C3" w:rsidRDefault="000F09F2" w:rsidP="000F09F2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tr-TR" w:eastAsia="tr-TR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2067D4EA" wp14:editId="4A5FC5DC">
            <wp:extent cx="2946400" cy="2044700"/>
            <wp:effectExtent l="0" t="0" r="635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F09F2" w:rsidRPr="00F211C3" w:rsidRDefault="000F09F2" w:rsidP="000F09F2">
      <w:pPr>
        <w:spacing w:after="240" w:line="360" w:lineRule="auto"/>
        <w:jc w:val="center"/>
        <w:rPr>
          <w:rFonts w:ascii="Times New Roman" w:hAnsi="Times New Roman" w:cs="Times New Roman"/>
          <w:sz w:val="20"/>
          <w:szCs w:val="20"/>
          <w:lang w:val="tr-TR"/>
        </w:rPr>
        <w:sectPr w:rsidR="000F09F2" w:rsidRPr="00F211C3" w:rsidSect="00BE447B">
          <w:type w:val="continuous"/>
          <w:pgSz w:w="11906" w:h="16838" w:code="9"/>
          <w:pgMar w:top="1418" w:right="1418" w:bottom="1418" w:left="1418" w:header="907" w:footer="624" w:gutter="0"/>
          <w:lnNumType w:countBy="1" w:restart="continuous"/>
          <w:cols w:num="2" w:space="708"/>
          <w:noEndnote/>
          <w:titlePg/>
          <w:docGrid w:linePitch="326"/>
        </w:sect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lastRenderedPageBreak/>
        <w:drawing>
          <wp:inline distT="0" distB="0" distL="0" distR="0" wp14:anchorId="5736733E" wp14:editId="5EF0080F">
            <wp:extent cx="3194685" cy="2032000"/>
            <wp:effectExtent l="0" t="0" r="5715" b="635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F09F2" w:rsidRPr="00F8552D" w:rsidRDefault="000F09F2" w:rsidP="000F09F2">
      <w:pPr>
        <w:spacing w:after="240" w:line="360" w:lineRule="auto"/>
        <w:rPr>
          <w:rFonts w:ascii="Times New Roman" w:hAnsi="Times New Roman" w:cs="Times New Roman"/>
          <w:sz w:val="24"/>
          <w:szCs w:val="24"/>
        </w:rPr>
        <w:sectPr w:rsidR="000F09F2" w:rsidRPr="00F8552D" w:rsidSect="00BE447B">
          <w:type w:val="continuous"/>
          <w:pgSz w:w="11906" w:h="16838" w:code="9"/>
          <w:pgMar w:top="1418" w:right="1418" w:bottom="1418" w:left="1418" w:header="907" w:footer="624" w:gutter="0"/>
          <w:lnNumType w:countBy="1" w:restart="continuous"/>
          <w:cols w:space="708"/>
          <w:noEndnote/>
          <w:titlePg/>
          <w:docGrid w:linePitch="326"/>
        </w:sectPr>
      </w:pPr>
      <w:r w:rsidRPr="00F8552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Fig. </w:t>
      </w:r>
      <w:r w:rsidR="00307B0D">
        <w:rPr>
          <w:rFonts w:ascii="Times New Roman" w:hAnsi="Times New Roman" w:cs="Times New Roman"/>
          <w:b/>
          <w:sz w:val="24"/>
          <w:szCs w:val="24"/>
        </w:rPr>
        <w:t>9</w:t>
      </w:r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adsorbent dosage on the adsorption of AV 17 by AAPS.</w:t>
      </w:r>
    </w:p>
    <w:p w:rsidR="00F7294B" w:rsidRDefault="00F7294B" w:rsidP="00EF5A8F">
      <w:pPr>
        <w:spacing w:after="24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7294B" w:rsidSect="00F7294B">
      <w:type w:val="continuous"/>
      <w:pgSz w:w="11906" w:h="16838" w:code="9"/>
      <w:pgMar w:top="1418" w:right="1418" w:bottom="1418" w:left="1418" w:header="907" w:footer="624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94B"/>
    <w:rsid w:val="000F09F2"/>
    <w:rsid w:val="00307B0D"/>
    <w:rsid w:val="00CC6D63"/>
    <w:rsid w:val="00EF5A8F"/>
    <w:rsid w:val="00F7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6F1F"/>
  <w15:chartTrackingRefBased/>
  <w15:docId w15:val="{55CAD0C8-A293-434A-8225-CBDCD25A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9F2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trNumaras">
    <w:name w:val="line number"/>
    <w:basedOn w:val="VarsaylanParagrafYazTipi"/>
    <w:uiPriority w:val="99"/>
    <w:semiHidden/>
    <w:unhideWhenUsed/>
    <w:rsid w:val="000F0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al__ma_Sayfas_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811261200108607"/>
          <c:y val="0.19550115641485408"/>
          <c:w val="0.7823184224816726"/>
          <c:h val="0.5770640128317293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Grafik!$D$5</c:f>
              <c:strCache>
                <c:ptCount val="1"/>
                <c:pt idx="0">
                  <c:v>40 mg/L</c:v>
                </c:pt>
              </c:strCache>
            </c:strRef>
          </c:tx>
          <c:xVal>
            <c:numRef>
              <c:f>Grafik!$C$6:$C$11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Grafik!$D$6:$D$11</c:f>
              <c:numCache>
                <c:formatCode>General</c:formatCode>
                <c:ptCount val="6"/>
                <c:pt idx="0">
                  <c:v>79.176154005381918</c:v>
                </c:pt>
                <c:pt idx="1">
                  <c:v>92.320430552680605</c:v>
                </c:pt>
                <c:pt idx="2">
                  <c:v>93.226040157317328</c:v>
                </c:pt>
                <c:pt idx="3">
                  <c:v>93.821155040364317</c:v>
                </c:pt>
                <c:pt idx="4">
                  <c:v>94.390395363278827</c:v>
                </c:pt>
                <c:pt idx="5">
                  <c:v>94.493893603808743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37A-453F-8930-B8B2E6225B7B}"/>
            </c:ext>
          </c:extLst>
        </c:ser>
        <c:ser>
          <c:idx val="1"/>
          <c:order val="1"/>
          <c:tx>
            <c:strRef>
              <c:f>Grafik!$E$5</c:f>
              <c:strCache>
                <c:ptCount val="1"/>
                <c:pt idx="0">
                  <c:v>80 mg/L</c:v>
                </c:pt>
              </c:strCache>
            </c:strRef>
          </c:tx>
          <c:xVal>
            <c:numRef>
              <c:f>Grafik!$C$6:$C$11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Grafik!$E$6:$E$11</c:f>
              <c:numCache>
                <c:formatCode>General</c:formatCode>
                <c:ptCount val="6"/>
                <c:pt idx="0">
                  <c:v>70.001097453906937</c:v>
                </c:pt>
                <c:pt idx="1">
                  <c:v>92.745829675153644</c:v>
                </c:pt>
                <c:pt idx="2">
                  <c:v>94.337137840210715</c:v>
                </c:pt>
                <c:pt idx="3">
                  <c:v>95.901009657594386</c:v>
                </c:pt>
                <c:pt idx="4">
                  <c:v>96.490891132572415</c:v>
                </c:pt>
                <c:pt idx="5">
                  <c:v>96.929872695346802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37A-453F-8930-B8B2E6225B7B}"/>
            </c:ext>
          </c:extLst>
        </c:ser>
        <c:ser>
          <c:idx val="2"/>
          <c:order val="2"/>
          <c:tx>
            <c:strRef>
              <c:f>Grafik!$F$5</c:f>
              <c:strCache>
                <c:ptCount val="1"/>
                <c:pt idx="0">
                  <c:v>160 mg/L</c:v>
                </c:pt>
              </c:strCache>
            </c:strRef>
          </c:tx>
          <c:xVal>
            <c:numRef>
              <c:f>Grafik!$C$6:$C$11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Grafik!$F$6:$F$11</c:f>
              <c:numCache>
                <c:formatCode>General</c:formatCode>
                <c:ptCount val="6"/>
                <c:pt idx="0">
                  <c:v>60.842924567359447</c:v>
                </c:pt>
                <c:pt idx="1">
                  <c:v>86.635753912395472</c:v>
                </c:pt>
                <c:pt idx="2">
                  <c:v>93.266815710303334</c:v>
                </c:pt>
                <c:pt idx="3">
                  <c:v>95.536971102094896</c:v>
                </c:pt>
                <c:pt idx="4">
                  <c:v>97.448317738952824</c:v>
                </c:pt>
                <c:pt idx="5">
                  <c:v>98.021031713173798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637A-453F-8930-B8B2E6225B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224960"/>
        <c:axId val="29214976"/>
      </c:scatterChart>
      <c:valAx>
        <c:axId val="29224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adsorbent dosage (</a:t>
                </a:r>
                <a:r>
                  <a:rPr lang="en-US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g/</a:t>
                </a:r>
                <a:r>
                  <a:rPr lang="tr-TR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L)</a:t>
                </a:r>
                <a:endParaRPr lang="ar-SA" sz="1100" b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3426469590008146"/>
              <c:y val="0.8917995894077597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29214976"/>
        <c:crosses val="autoZero"/>
        <c:crossBetween val="midCat"/>
        <c:majorUnit val="4"/>
      </c:valAx>
      <c:valAx>
        <c:axId val="29214976"/>
        <c:scaling>
          <c:orientation val="minMax"/>
          <c:max val="100"/>
          <c:min val="50"/>
        </c:scaling>
        <c:delete val="0"/>
        <c:axPos val="l"/>
        <c:title>
          <c:tx>
            <c:rich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 b="1" i="0" baseline="0">
                    <a:effectLst/>
                  </a:rPr>
                  <a:t>% AV 17  removal</a:t>
                </a:r>
                <a:endParaRPr lang="tr-TR" sz="1100" b="1">
                  <a:effectLst/>
                </a:endParaRPr>
              </a:p>
            </c:rich>
          </c:tx>
          <c:layout>
            <c:manualLayout>
              <c:xMode val="edge"/>
              <c:yMode val="edge"/>
              <c:x val="0"/>
              <c:y val="0.2121695114197681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29224960"/>
        <c:crosses val="autoZero"/>
        <c:crossBetween val="midCat"/>
        <c:majorUnit val="10"/>
      </c:valAx>
      <c:spPr>
        <a:ln>
          <a:solidFill>
            <a:sysClr val="windowText" lastClr="000000"/>
          </a:solidFill>
        </a:ln>
      </c:spPr>
    </c:plotArea>
    <c:legend>
      <c:legendPos val="t"/>
      <c:overlay val="0"/>
      <c:txPr>
        <a:bodyPr/>
        <a:lstStyle/>
        <a:p>
          <a:pPr>
            <a:defRPr sz="1000" b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017818658177567"/>
          <c:y val="0.18399409448818899"/>
          <c:w val="0.80410525607376004"/>
          <c:h val="0.60468542917283852"/>
        </c:manualLayout>
      </c:layout>
      <c:scatterChart>
        <c:scatterStyle val="lineMarker"/>
        <c:varyColors val="0"/>
        <c:ser>
          <c:idx val="0"/>
          <c:order val="0"/>
          <c:tx>
            <c:strRef>
              <c:f>Grafik!$D$25</c:f>
              <c:strCache>
                <c:ptCount val="1"/>
                <c:pt idx="0">
                  <c:v>40 mg/L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Grafik!$C$26:$C$31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Grafik!$D$26:$D$31</c:f>
              <c:numCache>
                <c:formatCode>0.000</c:formatCode>
                <c:ptCount val="6"/>
                <c:pt idx="0">
                  <c:v>8.1730769230769234</c:v>
                </c:pt>
                <c:pt idx="1">
                  <c:v>4.7649572649572649</c:v>
                </c:pt>
                <c:pt idx="2">
                  <c:v>3.8493589743589745</c:v>
                </c:pt>
                <c:pt idx="3">
                  <c:v>3.2282763532763528</c:v>
                </c:pt>
                <c:pt idx="4">
                  <c:v>2.4358974358974357</c:v>
                </c:pt>
                <c:pt idx="5">
                  <c:v>1.9508547008547008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374-4E8D-B526-7BA02B14D7E3}"/>
            </c:ext>
          </c:extLst>
        </c:ser>
        <c:ser>
          <c:idx val="1"/>
          <c:order val="1"/>
          <c:tx>
            <c:strRef>
              <c:f>Grafik!$E$25</c:f>
              <c:strCache>
                <c:ptCount val="1"/>
                <c:pt idx="0">
                  <c:v>80 mg/L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Grafik!$C$26:$C$31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Grafik!$E$26:$E$31</c:f>
              <c:numCache>
                <c:formatCode>0.000</c:formatCode>
                <c:ptCount val="6"/>
                <c:pt idx="0">
                  <c:v>13.629273504273502</c:v>
                </c:pt>
                <c:pt idx="1">
                  <c:v>9.0288461538461533</c:v>
                </c:pt>
                <c:pt idx="2">
                  <c:v>7.3470085470085458</c:v>
                </c:pt>
                <c:pt idx="3">
                  <c:v>6.2240028490028481</c:v>
                </c:pt>
                <c:pt idx="4">
                  <c:v>4.6967147435897427</c:v>
                </c:pt>
                <c:pt idx="5">
                  <c:v>3.7744658119658117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374-4E8D-B526-7BA02B14D7E3}"/>
            </c:ext>
          </c:extLst>
        </c:ser>
        <c:ser>
          <c:idx val="2"/>
          <c:order val="2"/>
          <c:tx>
            <c:strRef>
              <c:f>Grafik!$F$25</c:f>
              <c:strCache>
                <c:ptCount val="1"/>
                <c:pt idx="0">
                  <c:v>160 mg/L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Grafik!$C$26:$C$31</c:f>
              <c:numCache>
                <c:formatCode>General</c:formatCode>
                <c:ptCount val="6"/>
                <c:pt idx="0">
                  <c:v>4</c:v>
                </c:pt>
                <c:pt idx="1">
                  <c:v>8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xVal>
          <c:yVal>
            <c:numRef>
              <c:f>Grafik!$F$26:$F$31</c:f>
              <c:numCache>
                <c:formatCode>0.000</c:formatCode>
                <c:ptCount val="6"/>
                <c:pt idx="0">
                  <c:v>23.551282051282051</c:v>
                </c:pt>
                <c:pt idx="1">
                  <c:v>16.767628205128204</c:v>
                </c:pt>
                <c:pt idx="2">
                  <c:v>14.440811965811962</c:v>
                </c:pt>
                <c:pt idx="3">
                  <c:v>12.326923076923075</c:v>
                </c:pt>
                <c:pt idx="4">
                  <c:v>9.4301549145299131</c:v>
                </c:pt>
                <c:pt idx="5">
                  <c:v>7.5884615384615373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6374-4E8D-B526-7BA02B14D7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50816783"/>
        <c:axId val="1450818447"/>
      </c:scatterChart>
      <c:valAx>
        <c:axId val="145081678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adsorbent dosage</a:t>
                </a:r>
                <a:r>
                  <a:rPr lang="tr-TR" sz="11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(g/L)</a:t>
                </a:r>
              </a:p>
            </c:rich>
          </c:tx>
          <c:layout>
            <c:manualLayout>
              <c:xMode val="edge"/>
              <c:yMode val="edge"/>
              <c:x val="0.3252621065072997"/>
              <c:y val="0.904290429042904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450818447"/>
        <c:crosses val="autoZero"/>
        <c:crossBetween val="midCat"/>
        <c:majorUnit val="4"/>
      </c:valAx>
      <c:valAx>
        <c:axId val="1450818447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layout>
            <c:manualLayout>
              <c:xMode val="edge"/>
              <c:yMode val="edge"/>
              <c:x val="0"/>
              <c:y val="0.307464566929133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0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450816783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2019-04-07T08:28:00Z</dcterms:created>
  <dcterms:modified xsi:type="dcterms:W3CDTF">2019-10-16T11:47:00Z</dcterms:modified>
</cp:coreProperties>
</file>